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jc w:val="center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ИНТЕЛЛЕКТУАЛЬНЫЕ ИНФОРМАЦИОННЫЕ СИСТЕМЫ И ТЕХНОЛОГИИ ФУНКЦИОНАЛЬНОЙ ДИАГНОСТИКИ И НЕЙРОРЕАБИЛИТАЦИИ — МАГИСТРАТУРА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3"/>
        <w:jc w:val="center"/>
        <w:rPr/>
      </w:pPr>
      <w:r w:rsidDel="00000000" w:rsidR="00000000" w:rsidRPr="00000000">
        <w:rPr>
          <w:rFonts w:ascii="Helvetica Neue" w:cs="Helvetica Neue" w:eastAsia="Helvetica Neue" w:hAnsi="Helvetica Neue"/>
          <w:color w:val="808080"/>
          <w:rtl w:val="0"/>
        </w:rPr>
        <w:t xml:space="preserve">-Направление подготовки 09.04.02-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4.0" w:type="dxa"/>
        <w:jc w:val="left"/>
        <w:tblInd w:w="0.0" w:type="dxa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6A0"/>
      </w:tblPr>
      <w:tblGrid>
        <w:gridCol w:w="2256"/>
        <w:gridCol w:w="2256"/>
        <w:gridCol w:w="2256"/>
        <w:gridCol w:w="2256"/>
        <w:tblGridChange w:id="0">
          <w:tblGrid>
            <w:gridCol w:w="2256"/>
            <w:gridCol w:w="2256"/>
            <w:gridCol w:w="2256"/>
            <w:gridCol w:w="2256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ФОРМА ОБУЧЕНИЯ</w:t>
            </w:r>
          </w:p>
        </w:tc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БЮДЖЕТНЫХ МЕСТ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ВСТУПИТЕЛЬНЫЕ ИСПЫТАНИЯ</w:t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СРОК ОБУЧЕНИЯ</w:t>
            </w:r>
          </w:p>
        </w:tc>
      </w:tr>
      <w:tr>
        <w:tc>
          <w:tcPr/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Очная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Экзамен (устный)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 года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rFonts w:ascii="Helvetica Neue" w:cs="Helvetica Neue" w:eastAsia="Helvetica Neue" w:hAnsi="Helvetica Neue"/>
          <w:color w:val="545454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545454"/>
          <w:sz w:val="24"/>
          <w:szCs w:val="24"/>
          <w:rtl w:val="0"/>
        </w:rPr>
        <w:t xml:space="preserve">Основная цель – подготовить инженеров мирового уровня для новых инновационных производств. Абитуриент получает возможность получения качественного образования. Студент – развиваться в области проектирования и разработки систем и технологий для функциональной диагностики человека и нейрореабилитации.</w:t>
      </w:r>
    </w:p>
    <w:p w:rsidR="00000000" w:rsidDel="00000000" w:rsidP="00000000" w:rsidRDefault="00000000" w:rsidRPr="00000000" w14:paraId="0000000D">
      <w:pPr>
        <w:rPr>
          <w:rFonts w:ascii="Helvetica Neue" w:cs="Helvetica Neue" w:eastAsia="Helvetica Neue" w:hAnsi="Helvetica Neue"/>
          <w:color w:val="545454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545454"/>
          <w:sz w:val="24"/>
          <w:szCs w:val="24"/>
          <w:rtl w:val="0"/>
        </w:rPr>
        <w:t xml:space="preserve">Данное направление подготовки наиболее подходит специалистам и бакалаврам в областях медицины и/или физики, желающим продолжить своё развитие в сфере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Вступительные испытания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545454"/>
          <w:sz w:val="24"/>
          <w:szCs w:val="24"/>
          <w:rtl w:val="0"/>
        </w:rPr>
        <w:t xml:space="preserve">Вступительные испытания для абитуриентов проводятся в форме устного собеседования. Ориентировочная продолжительность собеседования – 30 мин.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Основные задачи вступительного испытания: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Проверить уровень знаний претендента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Определить склонности к научно-исследовательской деятельности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Выяснить мотивы поступления в магистратуру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Определить уровень научных интересов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Определить уровень научно-технической эрудиции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В ходе вступительного испытания поступающий должен показать: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Знание теоретических основ бакалавриата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Владение специальной профессиональной терминологией и лексикой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Умение использовать математический аппарат при изучении и количественном описании реальных процессов и явлений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Умение оперировать ссылками на соответствующие положения в учебной и научной литературе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Владение культурой мышления , способность в письменной и устной речи правильно оформлять его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Умение поставить цель и сформулировать задачи , связанные с реализацией профессиональных функций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1D">
      <w:pPr>
        <w:jc w:val="center"/>
        <w:rPr/>
      </w:pPr>
      <w:hyperlink r:id="rId6">
        <w:r w:rsidDel="00000000" w:rsidR="00000000" w:rsidRPr="00000000">
          <w:rPr>
            <w:rFonts w:ascii="Helvetica Neue" w:cs="Helvetica Neue" w:eastAsia="Helvetica Neue" w:hAnsi="Helvetica Neue"/>
            <w:color w:val="545454"/>
            <w:sz w:val="24"/>
            <w:szCs w:val="24"/>
            <w:u w:val="single"/>
            <w:rtl w:val="0"/>
          </w:rPr>
          <w:t xml:space="preserve">ПРОГРАММА ВСТУПИТЕЛЬНЫХ ИСПЫТАНИЙ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Helvetica Neue" w:cs="Helvetica Neue" w:eastAsia="Helvetica Neue" w:hAnsi="Helvetica Neue"/>
          <w:color w:val="54545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Образовательный процесс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545454"/>
          <w:sz w:val="24"/>
          <w:szCs w:val="24"/>
          <w:rtl w:val="0"/>
        </w:rPr>
        <w:t xml:space="preserve">За 2 года освоения магистерской программы студент проходит три уровня практики: учебная (2 семестр), производственная (3 семестр), преддипломная (4 семестр).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545454"/>
          <w:sz w:val="24"/>
          <w:szCs w:val="24"/>
          <w:rtl w:val="0"/>
        </w:rPr>
        <w:t xml:space="preserve">Примерные темы научно-исследовательских работ: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Исследование методов нелинейной динамики для перспективных средств медицинской диагностики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 теоретических основ и базовых технических решений для систем многоканальной электростимуляции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 системы тренинга вестибулярной системы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 радиометрических систем для измерения собственного ЭМИ человека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Исследование методов анализа мимики человека по видеоизображению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Модули образовательной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3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По выбору студента: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Цифровая обработка сигналов и изображений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545454"/>
          <w:sz w:val="24"/>
          <w:szCs w:val="24"/>
          <w:rtl w:val="0"/>
        </w:rPr>
        <w:t xml:space="preserve">Основная область деятельности студентов данного модуля связана с цифровой обработкой сигналом и компьютерным зрением. В рамках освоения магистерской программы студенты получают навыки: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Применения алгоритмов обработки изображений при решении медико-биологических задач распознавания образов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Применения алгоритмов обработки сигналов, специализированных для решения медико-биологических задач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3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Приборы и технологии для медицины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545454"/>
          <w:sz w:val="24"/>
          <w:szCs w:val="24"/>
          <w:rtl w:val="0"/>
        </w:rPr>
        <w:t xml:space="preserve">Основная область деятельности студентов данного модуля связана с биотехническими системами и технологиями, медицинскими изделиями и встраиваемыми системами, программного обеспечения распределенных систем. В рамках освоения магистерской программы студенты получают навыки: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Производить расчет значения параметров биологических систем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Применять стандарты и спецификации при разработке и производстве приборов медицинского назначения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Проектировать и управлять разработкой программного обеспечения распределенных систем медицинского назначения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/>
      </w:pP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545454"/>
            <w:sz w:val="24"/>
            <w:szCs w:val="24"/>
            <w:u w:val="single"/>
            <w:rtl w:val="0"/>
          </w:rPr>
          <w:t xml:space="preserve">ОЗНАКОМИТЬСЯ С УЧЕБНЫМ ПЛАНОМ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2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Перспективы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545454"/>
          <w:sz w:val="24"/>
          <w:szCs w:val="24"/>
          <w:rtl w:val="0"/>
        </w:rPr>
        <w:t xml:space="preserve">Перед выпускниками образовательной программы открываются следующие траектории развития своего профессионального потенциала: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Информационные системы и технологии в области функциональной диагностики и нейрореабилитации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Разработка, внедрение и эксплуатация информационных систем и технологий в науке и производстве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 приборов, систем, и программного обеспечения медицинского назначения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Исследование и моделирование информационных процессов и технологий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 систем компьютерного зрения и цифровой обработки сигналов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 интерфейсов мозг-компьютер (BCI)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Helvetica Neue" w:cs="Helvetica Neue" w:eastAsia="Helvetica Neue" w:hAnsi="Helvetica Neue"/>
          <w:color w:val="54545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/>
        <w:drawing>
          <wp:inline distB="0" distT="0" distL="114300" distR="114300">
            <wp:extent cx="666750" cy="647700"/>
            <wp:effectExtent b="0" l="0" r="0" t="0"/>
            <wp:docPr descr="Биотехнологические компании" id="3" name="image1.png"/>
            <a:graphic>
              <a:graphicData uri="http://schemas.openxmlformats.org/drawingml/2006/picture">
                <pic:pic>
                  <pic:nvPicPr>
                    <pic:cNvPr descr="Биотехнологические компании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color w:val="282828"/>
          <w:sz w:val="24"/>
          <w:szCs w:val="24"/>
          <w:rtl w:val="0"/>
        </w:rPr>
        <w:t xml:space="preserve">Биотехнологические компании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/>
        <w:drawing>
          <wp:inline distB="0" distT="0" distL="114300" distR="114300">
            <wp:extent cx="666750" cy="647700"/>
            <wp:effectExtent b="0" l="0" r="0" t="0"/>
            <wp:docPr descr="ИТ-компании" id="5" name="image5.jpg"/>
            <a:graphic>
              <a:graphicData uri="http://schemas.openxmlformats.org/drawingml/2006/picture">
                <pic:pic>
                  <pic:nvPicPr>
                    <pic:cNvPr descr="ИТ-компании" id="0" name="image5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color w:val="282828"/>
          <w:sz w:val="24"/>
          <w:szCs w:val="24"/>
          <w:rtl w:val="0"/>
        </w:rPr>
        <w:t xml:space="preserve">ИТ-компании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/>
        <w:drawing>
          <wp:inline distB="0" distT="0" distL="114300" distR="114300">
            <wp:extent cx="666750" cy="647700"/>
            <wp:effectExtent b="0" l="0" r="0" t="0"/>
            <wp:docPr descr="Компании, занимающиеся робототехникой" id="4" name="image2.png"/>
            <a:graphic>
              <a:graphicData uri="http://schemas.openxmlformats.org/drawingml/2006/picture">
                <pic:pic>
                  <pic:nvPicPr>
                    <pic:cNvPr descr="Компании, занимающиеся робототехникой"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color w:val="282828"/>
          <w:sz w:val="24"/>
          <w:szCs w:val="24"/>
          <w:rtl w:val="0"/>
        </w:rPr>
        <w:t xml:space="preserve">Компании, занимающиеся робототехникой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/>
        <w:drawing>
          <wp:inline distB="0" distT="0" distL="114300" distR="114300">
            <wp:extent cx="666750" cy="647700"/>
            <wp:effectExtent b="0" l="0" r="0" t="0"/>
            <wp:docPr descr="Компании-разработчики нейроинтерфейсов" id="7" name="image7.png"/>
            <a:graphic>
              <a:graphicData uri="http://schemas.openxmlformats.org/drawingml/2006/picture">
                <pic:pic>
                  <pic:nvPicPr>
                    <pic:cNvPr descr="Компании-разработчики нейроинтерфейсов"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color w:val="282828"/>
          <w:sz w:val="24"/>
          <w:szCs w:val="24"/>
          <w:rtl w:val="0"/>
        </w:rPr>
        <w:t xml:space="preserve">Компании-разработчики нейроинтерфейсов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/>
        <w:drawing>
          <wp:inline distB="0" distT="0" distL="114300" distR="114300">
            <wp:extent cx="666750" cy="647700"/>
            <wp:effectExtent b="0" l="0" r="0" t="0"/>
            <wp:docPr descr="Компании–разработчики продуктов для индустрии развлечений" id="6" name="image6.png"/>
            <a:graphic>
              <a:graphicData uri="http://schemas.openxmlformats.org/drawingml/2006/picture">
                <pic:pic>
                  <pic:nvPicPr>
                    <pic:cNvPr descr="Компании–разработчики продуктов для индустрии развлечений"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color w:val="282828"/>
          <w:sz w:val="24"/>
          <w:szCs w:val="24"/>
          <w:rtl w:val="0"/>
        </w:rPr>
        <w:t xml:space="preserve">Компании–разработчики продуктов для индустрии развлечений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/>
        <w:drawing>
          <wp:inline distB="0" distT="0" distL="114300" distR="114300">
            <wp:extent cx="666750" cy="647700"/>
            <wp:effectExtent b="0" l="0" r="0" t="0"/>
            <wp:docPr descr="Протезно-ортопедические предприятия" id="2" name="image4.png"/>
            <a:graphic>
              <a:graphicData uri="http://schemas.openxmlformats.org/drawingml/2006/picture">
                <pic:pic>
                  <pic:nvPicPr>
                    <pic:cNvPr descr="Протезно-ортопедические предприятия"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color w:val="282828"/>
          <w:sz w:val="24"/>
          <w:szCs w:val="24"/>
          <w:rtl w:val="0"/>
        </w:rPr>
        <w:t xml:space="preserve">Протезно-ортопедические предприятия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Заработная плата</w:t>
      </w:r>
      <w:r w:rsidDel="00000000" w:rsidR="00000000" w:rsidRPr="00000000">
        <w:rPr>
          <w:rtl w:val="0"/>
        </w:rPr>
      </w:r>
    </w:p>
    <w:tbl>
      <w:tblPr>
        <w:tblStyle w:val="Table2"/>
        <w:tblW w:w="9026.0" w:type="dxa"/>
        <w:jc w:val="left"/>
        <w:tblInd w:w="0.0" w:type="dxa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6A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c>
          <w:tcPr/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НАЧАЛЬНЫЙ УРОВЕНЬ: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ПРОДВИНУТЫЙ УРОВЕНЬ: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30 000 руб. + в зависимости от функции в команде, места и опыта работы, графика занятости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60 000 руб. + в зависимости от функции в команде, места и опыта работы, графика занятости</w:t>
            </w:r>
            <w:r w:rsidDel="00000000" w:rsidR="00000000" w:rsidRPr="00000000">
              <w:rPr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2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Руководитель образовательной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360"/>
        <w:rPr/>
      </w:pPr>
      <w:r w:rsidDel="00000000" w:rsidR="00000000" w:rsidRPr="00000000">
        <w:rPr/>
        <w:drawing>
          <wp:inline distB="0" distT="0" distL="114300" distR="114300">
            <wp:extent cx="958596" cy="1409700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8596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545454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Кубланов Владимир Семёнович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Телефон: </w:t>
      </w:r>
      <w:hyperlink r:id="rId16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545454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375-94-64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E-mail: </w:t>
      </w:r>
      <w:hyperlink r:id="rId17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545454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v.s.kublanov@urfu.ru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rPr/>
      </w:pPr>
      <w:r w:rsidDel="00000000" w:rsidR="00000000" w:rsidRPr="00000000">
        <w:rPr>
          <w:rFonts w:ascii="Helvetica Neue" w:cs="Helvetica Neue" w:eastAsia="Helvetica Neue" w:hAnsi="Helvetica Neue"/>
          <w:color w:val="295e8a"/>
          <w:rtl w:val="0"/>
        </w:rPr>
        <w:t xml:space="preserve">Отборочная комиссия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Ответственный секретарь: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Сергеева Любовь Владимировна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Адрес: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г. Екатеринбург, ул. Софьи Ковалевской 5, Т-907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Телефон: </w:t>
      </w:r>
      <w:hyperlink r:id="rId18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545454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+7 (964) 48-820-92</w:t>
        </w:r>
      </w:hyperlink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hyperlink r:id="rId19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545454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+7 (964) 48-988-72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E-mail: </w:t>
      </w:r>
      <w:hyperlink r:id="rId20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545454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info.priem@urfu.ru</w:t>
        </w:r>
      </w:hyperlink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hyperlink r:id="rId21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545454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l.v.chernavskih@urfu.ru 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Сайт: </w:t>
      </w:r>
      <w:hyperlink r:id="rId22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545454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priem-rtf.urfu.ru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545454"/>
          <w:sz w:val="24"/>
          <w:szCs w:val="24"/>
          <w:u w:val="none"/>
          <w:shd w:fill="auto" w:val="clear"/>
          <w:vertAlign w:val="baseline"/>
          <w:rtl w:val="0"/>
        </w:rPr>
        <w:t xml:space="preserve">Группа ВК: </w:t>
      </w:r>
      <w:hyperlink r:id="rId23">
        <w:r w:rsidDel="00000000" w:rsidR="00000000" w:rsidRPr="00000000">
          <w:rPr>
            <w:rFonts w:ascii="Helvetica Neue" w:cs="Helvetica Neue" w:eastAsia="Helvetica Neue" w:hAnsi="Helvetica Neue"/>
            <w:b w:val="0"/>
            <w:i w:val="0"/>
            <w:smallCaps w:val="0"/>
            <w:strike w:val="0"/>
            <w:color w:val="545454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АБИТУРИЕНТ ИРИТ-РтФ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0"/>
        <w:rPr>
          <w:rFonts w:ascii="Helvetica Neue" w:cs="Helvetica Neue" w:eastAsia="Helvetica Neue" w:hAnsi="Helvetica Neue"/>
          <w:color w:val="545454"/>
          <w:sz w:val="24"/>
          <w:szCs w:val="24"/>
        </w:rPr>
      </w:pPr>
      <w:r w:rsidDel="00000000" w:rsidR="00000000" w:rsidRPr="00000000">
        <w:rPr>
          <w:rtl w:val="0"/>
        </w:rPr>
        <w:br w:type="textWrapping"/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eebf6" w:val="clear"/>
      </w:tcPr>
    </w:tblStylePr>
    <w:tblStylePr w:type="band1Vert">
      <w:tcPr>
        <w:shd w:fill="deebf6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5b9bd5" w:space="0" w:sz="4" w:val="single"/>
          <w:left w:color="5b9bd5" w:space="0" w:sz="4" w:val="single"/>
          <w:bottom w:color="5b9bd5" w:space="0" w:sz="4" w:val="single"/>
          <w:right w:color="5b9bd5" w:space="0" w:sz="4" w:val="single"/>
          <w:insideH w:color="000000" w:space="0" w:sz="0" w:val="nil"/>
          <w:insideV w:color="000000" w:space="0" w:sz="0" w:val="nil"/>
        </w:tcBorders>
        <w:shd w:fill="5b9bd5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5b9bd5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eebf6" w:val="clear"/>
      </w:tcPr>
    </w:tblStylePr>
    <w:tblStylePr w:type="band1Vert">
      <w:tcPr>
        <w:shd w:fill="deebf6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5b9bd5" w:space="0" w:sz="4" w:val="single"/>
          <w:left w:color="5b9bd5" w:space="0" w:sz="4" w:val="single"/>
          <w:bottom w:color="5b9bd5" w:space="0" w:sz="4" w:val="single"/>
          <w:right w:color="5b9bd5" w:space="0" w:sz="4" w:val="single"/>
          <w:insideH w:color="000000" w:space="0" w:sz="0" w:val="nil"/>
          <w:insideV w:color="000000" w:space="0" w:sz="0" w:val="nil"/>
        </w:tcBorders>
        <w:shd w:fill="5b9bd5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5b9bd5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mailto:info.priem@urfu.ru" TargetMode="External"/><Relationship Id="rId11" Type="http://schemas.openxmlformats.org/officeDocument/2006/relationships/image" Target="media/image7.png"/><Relationship Id="rId22" Type="http://schemas.openxmlformats.org/officeDocument/2006/relationships/hyperlink" Target="https://priem-rtf.urfu.ru/ru/" TargetMode="External"/><Relationship Id="rId10" Type="http://schemas.openxmlformats.org/officeDocument/2006/relationships/image" Target="media/image2.png"/><Relationship Id="rId21" Type="http://schemas.openxmlformats.org/officeDocument/2006/relationships/hyperlink" Target="mailto:l.v.chernavskih@urfu.ru" TargetMode="External"/><Relationship Id="rId13" Type="http://schemas.openxmlformats.org/officeDocument/2006/relationships/image" Target="media/image4.png"/><Relationship Id="rId12" Type="http://schemas.openxmlformats.org/officeDocument/2006/relationships/image" Target="media/image6.png"/><Relationship Id="rId23" Type="http://schemas.openxmlformats.org/officeDocument/2006/relationships/hyperlink" Target="https://vk.com/iritrtf_urf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jpg"/><Relationship Id="rId15" Type="http://schemas.openxmlformats.org/officeDocument/2006/relationships/hyperlink" Target="http://urfu.ru/ru/about/personal-pages/Personal/person/v.s.kublanov/" TargetMode="External"/><Relationship Id="rId14" Type="http://schemas.openxmlformats.org/officeDocument/2006/relationships/image" Target="media/image3.jpg"/><Relationship Id="rId17" Type="http://schemas.openxmlformats.org/officeDocument/2006/relationships/hyperlink" Target="mailto:v.s.kublanov@urfu.ru" TargetMode="External"/><Relationship Id="rId16" Type="http://schemas.openxmlformats.org/officeDocument/2006/relationships/hyperlink" Target="about:blank" TargetMode="External"/><Relationship Id="rId5" Type="http://schemas.openxmlformats.org/officeDocument/2006/relationships/styles" Target="styles.xml"/><Relationship Id="rId19" Type="http://schemas.openxmlformats.org/officeDocument/2006/relationships/hyperlink" Target="about:blank" TargetMode="External"/><Relationship Id="rId6" Type="http://schemas.openxmlformats.org/officeDocument/2006/relationships/hyperlink" Target="https://course090402.files.wordpress.com/2018/10/d0bfd180d0bed0b3d180d0b0d0bcd0bcd0b0-d0b2d181d182d183d0bfd0b8d182d0b5d0bbd18cd0bdd18bd185-d0b8d181d0bfd18bd182d0b0d0bdd0b8d0b9.pdf" TargetMode="External"/><Relationship Id="rId18" Type="http://schemas.openxmlformats.org/officeDocument/2006/relationships/hyperlink" Target="about:blank" TargetMode="External"/><Relationship Id="rId7" Type="http://schemas.openxmlformats.org/officeDocument/2006/relationships/hyperlink" Target="https://programs.edu.urfu.ru/media/documents/00005291.pdf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